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целевую модель долгосрочного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2022, 16:15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Она гарантирует сохранение экономии, полученной в результате проведения модернизации инфраструктуры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полученной экономии в размере 70 % должна быть направлена на реализацию инвестиционной программы, 30 % - остается в распоряжении организации и не исключается из необходимой валовой выручки. Об этом сообщил замглавы ФАС Виталий Королев на Всероссийской тарифной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ведомства по построению долгосрочного и предсказуемого регулирования нашла применение в регионах. Заключенные за период 2022-2024 гг. концессионные соглашения позволят привлечь инвестиции в теплоснабжение городов Клин, Сергиев Посад, Солнечногорск и Воскресенск Московской области для ремонта и строительства новых теплотрасс на сумму 11,7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 заместитель руководителя ФАС России Сергей Пузыревский рассказал о контрольно-надзорной деятельности ведомства. Он отметил, что в 2022 году ФАС России предписала исключить 2,1 млрд рублей необоснованных средств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сообщил, что в рамках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Концепции
        </w:t>
        </w:r>
      </w:hyperlink>
      <w:r>
        <w:t xml:space="preserve"> долгосрочного тарифного регулирования продолжается работа над проектом Единого тарифного закона. Основная задача документа - объединить тарифное регулирование различных сфер, а его основные приоритеты - долгосрочность, метод эталонов и прозрачность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подписан разработанный ФАС России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закон
        </w:t>
        </w:r>
      </w:hyperlink>
      <w:r>
        <w:t xml:space="preserve"> о досудебном рассмотрении тарифных споров в сфере обращения с ТКО. Принятые изменения позволят существенно ускорить рассмотрение споров между региональными тарифными органами, организациями и потребителями.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84" TargetMode="External" Id="rId8"/>
  <Relationship Type="http://schemas.openxmlformats.org/officeDocument/2006/relationships/hyperlink" Target="https://fas.gov.ru/news/3218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