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упростить порядок рефинансирования ипотеки и выбора банков для получения пенсий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этих законопроектов положительно скажется на развитии конкуренции на финансовых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предлагает упростить порядок рефинансирования ипотеки, чтобы исключить дополнительные расходы заемщиков, заявил заместитель руководителя ФАС России Андрей Кашеваров на Съезде Ассоциации российских банков.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анализа поступающих обращений граждан в ФАС России мы выявили ряд проблем при рефинансировании ипотеки, которые приводят к повышенным расходам потребителя, вызванных не их виной</w:t>
      </w:r>
      <w:r>
        <w:t xml:space="preserve">, — отметил Андрей Кашеваров. </w:t>
      </w:r>
      <w:r>
        <w:rPr>
          <w:i/>
        </w:rPr>
        <w:t xml:space="preserve">При текущем порядке рефинансирования ипотеки заёмщик либо остаётся в текущих условиях и не переходит в другой банк, либо вынужден на протяжении долгого времени выплачивать новому кредитору повышенную процентную ставку»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подготовлен законопроект, который призван упростить порядок рефинансирования ипотеки. Сейчас он находится на обсуждении.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съезде Андрей Кашеваров отметил, что в настоящее время граждане ограничены в праве выбора организаций для получения пенсий и иных социальных выплат.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«Граждане должны иметь возможность получать пенсии в любом выбранном ими банке, вне зависимости от наличия соглашения между территориальным органом Пенсионного фонда России и выбранной кредитной организацией»,</w:t>
      </w:r>
      <w:r>
        <w:t xml:space="preserve"> — заявил заместитель 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Закрепление на законодательном уровне такой возможности является одной из задач Федеральной антимонопольной службы по развитию конкуренции на финансовых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соответствующего законопроекта позволит гражданам беспрепятственно получать пенсионные выплаты именно в той кредитной организации, которая является для них наиболее предпочтительной. Документ проходит межведомственное согласование.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«Принимая решение при выборе банка пенсионеры смогут исходить из предлагаемых им дополнительных услуг, программ лояльности и других преимуществ, а не из того, заключено ли соглашение у организации с Пенсионным фондом или нет»</w:t>
      </w:r>
      <w:r>
        <w:t xml:space="preserve">, — пояснил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